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spacing w:line="400" w:lineRule="exact"/>
        <w:jc w:val="center"/>
        <w:rPr>
          <w:rFonts w:ascii="方正小标宋简体" w:eastAsia="方正小标宋简体"/>
          <w:sz w:val="36"/>
          <w:szCs w:val="36"/>
        </w:rPr>
      </w:pPr>
      <w:r>
        <w:rPr>
          <w:rFonts w:hint="eastAsia" w:ascii="方正小标宋简体" w:eastAsia="方正小标宋简体"/>
          <w:sz w:val="36"/>
          <w:szCs w:val="36"/>
          <w:lang w:eastAsia="zh-CN"/>
        </w:rPr>
        <w:t>高校</w:t>
      </w:r>
      <w:r>
        <w:rPr>
          <w:rFonts w:hint="eastAsia" w:ascii="方正小标宋简体" w:eastAsia="方正小标宋简体"/>
          <w:sz w:val="36"/>
          <w:szCs w:val="36"/>
        </w:rPr>
        <w:t>基层党支部达标创星标准</w:t>
      </w:r>
      <w:r>
        <w:rPr>
          <w:rFonts w:hint="eastAsia" w:ascii="方正小标宋简体" w:eastAsia="方正小标宋简体"/>
          <w:sz w:val="36"/>
          <w:szCs w:val="36"/>
          <w:lang w:eastAsia="zh-CN"/>
        </w:rPr>
        <w:t>及评分规则</w:t>
      </w:r>
    </w:p>
    <w:p>
      <w:pPr>
        <w:spacing w:line="400" w:lineRule="exact"/>
        <w:jc w:val="center"/>
        <w:rPr>
          <w:rFonts w:ascii="方正小标宋简体" w:eastAsia="方正小标宋简体"/>
          <w:sz w:val="36"/>
          <w:szCs w:val="36"/>
        </w:rPr>
      </w:pPr>
    </w:p>
    <w:tbl>
      <w:tblPr>
        <w:tblStyle w:val="5"/>
        <w:tblW w:w="8760"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689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blHeader/>
        </w:trPr>
        <w:tc>
          <w:tcPr>
            <w:tcW w:w="1095" w:type="dxa"/>
            <w:vAlign w:val="center"/>
          </w:tcPr>
          <w:p>
            <w:pPr>
              <w:widowControl/>
              <w:jc w:val="center"/>
              <w:rPr>
                <w:rFonts w:ascii="楷体_GB2312" w:eastAsia="楷体_GB2312"/>
                <w:b/>
                <w:bCs/>
                <w:sz w:val="28"/>
                <w:szCs w:val="28"/>
              </w:rPr>
            </w:pPr>
            <w:r>
              <w:rPr>
                <w:rFonts w:ascii="宋体" w:hAnsi="宋体" w:cs="宋体"/>
                <w:b/>
                <w:bCs/>
                <w:kern w:val="0"/>
                <w:szCs w:val="21"/>
              </w:rPr>
              <w:t>项目</w:t>
            </w:r>
          </w:p>
        </w:tc>
        <w:tc>
          <w:tcPr>
            <w:tcW w:w="6890" w:type="dxa"/>
            <w:vAlign w:val="center"/>
          </w:tcPr>
          <w:p>
            <w:pPr>
              <w:widowControl/>
              <w:jc w:val="center"/>
              <w:rPr>
                <w:rFonts w:ascii="楷体_GB2312" w:eastAsia="楷体_GB2312"/>
                <w:b/>
                <w:bCs/>
                <w:sz w:val="28"/>
                <w:szCs w:val="28"/>
              </w:rPr>
            </w:pPr>
            <w:r>
              <w:rPr>
                <w:rFonts w:ascii="宋体" w:hAnsi="宋体" w:cs="宋体"/>
                <w:b/>
                <w:bCs/>
                <w:kern w:val="0"/>
                <w:szCs w:val="21"/>
              </w:rPr>
              <w:t>标  准  及  要  求</w:t>
            </w:r>
          </w:p>
        </w:tc>
        <w:tc>
          <w:tcPr>
            <w:tcW w:w="775" w:type="dxa"/>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5" w:type="dxa"/>
            <w:vMerge w:val="restart"/>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rPr>
              <w:t>基本</w:t>
            </w:r>
          </w:p>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rPr>
              <w:t>组织</w:t>
            </w:r>
          </w:p>
          <w:p>
            <w:pPr>
              <w:widowControl/>
              <w:spacing w:line="23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13分</w:t>
            </w:r>
            <w:r>
              <w:rPr>
                <w:rFonts w:hint="eastAsia" w:ascii="宋体" w:hAnsi="宋体" w:cs="宋体"/>
                <w:kern w:val="0"/>
                <w:sz w:val="21"/>
                <w:szCs w:val="21"/>
                <w:lang w:eastAsia="zh-CN"/>
              </w:rPr>
              <w:t>）</w:t>
            </w: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规范党组织设置，人数较多的党支部应按规定及时升格为党委、党总支，并根据实际合理划分党小组</w:t>
            </w:r>
            <w:r>
              <w:rPr>
                <w:rFonts w:hint="eastAsia" w:ascii="宋体" w:hAnsi="宋体" w:cs="宋体"/>
                <w:kern w:val="0"/>
                <w:sz w:val="21"/>
                <w:szCs w:val="21"/>
                <w:u w:val="none"/>
                <w:lang w:eastAsia="zh-CN"/>
              </w:rPr>
              <w:t>，</w:t>
            </w:r>
            <w:r>
              <w:rPr>
                <w:rFonts w:hint="eastAsia" w:ascii="宋体" w:hAnsi="宋体" w:cs="宋体"/>
                <w:kern w:val="0"/>
                <w:sz w:val="21"/>
                <w:szCs w:val="21"/>
                <w:u w:val="none"/>
              </w:rPr>
              <w:t>能够按期进行换届选举。</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党组织隶属关系、党员组织关系明确、规范</w:t>
            </w:r>
            <w:r>
              <w:rPr>
                <w:rFonts w:hint="eastAsia" w:ascii="宋体" w:hAnsi="宋体" w:cs="宋体"/>
                <w:kern w:val="0"/>
                <w:sz w:val="21"/>
                <w:szCs w:val="21"/>
                <w:u w:val="none"/>
                <w:lang w:eastAsia="zh-CN"/>
              </w:rPr>
              <w:t>，</w:t>
            </w:r>
            <w:r>
              <w:rPr>
                <w:rFonts w:hint="eastAsia" w:ascii="宋体" w:hAnsi="宋体" w:cs="宋体"/>
                <w:kern w:val="0"/>
                <w:sz w:val="21"/>
                <w:szCs w:val="21"/>
                <w:u w:val="none"/>
              </w:rPr>
              <w:t>按规定做好党员党组织关系接转、流动党员和出国境党员管理。</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建立规范的党建工作管理台账，做到党员基本情况、入党积极分子等基本情况清楚。</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trPr>
        <w:tc>
          <w:tcPr>
            <w:tcW w:w="1095" w:type="dxa"/>
            <w:vMerge w:val="restart"/>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rPr>
              <w:t>基本</w:t>
            </w:r>
          </w:p>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rPr>
              <w:t>队伍</w:t>
            </w:r>
          </w:p>
          <w:p>
            <w:pPr>
              <w:widowControl/>
              <w:spacing w:line="23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15分</w:t>
            </w:r>
            <w:r>
              <w:rPr>
                <w:rFonts w:hint="eastAsia" w:ascii="宋体" w:hAnsi="宋体" w:cs="宋体"/>
                <w:kern w:val="0"/>
                <w:sz w:val="21"/>
                <w:szCs w:val="21"/>
                <w:lang w:eastAsia="zh-CN"/>
              </w:rPr>
              <w:t>）</w:t>
            </w: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选优配强党支部书记，党支部书记党性强、业务精、有威信、肯奉献</w:t>
            </w:r>
            <w:r>
              <w:rPr>
                <w:rFonts w:hint="eastAsia" w:ascii="宋体" w:hAnsi="宋体" w:cs="宋体"/>
                <w:kern w:val="0"/>
                <w:sz w:val="21"/>
                <w:szCs w:val="21"/>
                <w:u w:val="none"/>
                <w:lang w:eastAsia="zh-CN"/>
              </w:rPr>
              <w:t>，实施教师党支部书记“双带头人”培育工程，注重从优秀辅导员、优秀大学生党员中选拔学生党支部书记</w:t>
            </w:r>
            <w:r>
              <w:rPr>
                <w:rFonts w:hint="eastAsia" w:ascii="宋体" w:hAnsi="宋体" w:cs="宋体"/>
                <w:kern w:val="0"/>
                <w:sz w:val="21"/>
                <w:szCs w:val="21"/>
                <w:u w:val="none"/>
              </w:rPr>
              <w:t>。</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党支部班子配备合理、团结协调，在党员和</w:t>
            </w:r>
            <w:r>
              <w:rPr>
                <w:rFonts w:hint="eastAsia" w:ascii="宋体" w:hAnsi="宋体" w:cs="宋体"/>
                <w:kern w:val="0"/>
                <w:sz w:val="21"/>
                <w:szCs w:val="21"/>
                <w:u w:val="none"/>
                <w:lang w:eastAsia="zh-CN"/>
              </w:rPr>
              <w:t>师生</w:t>
            </w:r>
            <w:r>
              <w:rPr>
                <w:rFonts w:hint="eastAsia" w:ascii="宋体" w:hAnsi="宋体" w:cs="宋体"/>
                <w:kern w:val="0"/>
                <w:sz w:val="21"/>
                <w:szCs w:val="21"/>
                <w:u w:val="none"/>
              </w:rPr>
              <w:t>中有凝聚力和影响力。</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配齐配强专兼职党务工作人员，数量充足、业务熟悉、结构合理。</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党员发展台账及党员档案完整，党员发展工作能按计划完成</w:t>
            </w:r>
            <w:r>
              <w:rPr>
                <w:rFonts w:hint="eastAsia" w:ascii="宋体" w:hAnsi="宋体" w:cs="宋体"/>
                <w:kern w:val="0"/>
                <w:sz w:val="21"/>
                <w:szCs w:val="21"/>
                <w:u w:val="none"/>
                <w:lang w:eastAsia="zh-CN"/>
              </w:rPr>
              <w:t>。坚持党员发展标准，严格党员发展程序，注重政治合格，端正师生入党动机。教师党支部推行“双培养”，积极团结凝聚高层次人才、优秀青年教师、海外留学归国教师，符合条件的及时吸收入党。学生党支部将“推荐优秀团员作为入党积极分子人选”作为重要渠道，严把“质量关”，重视发展少数民族学生入党。</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加强党员教育</w:t>
            </w:r>
            <w:r>
              <w:rPr>
                <w:rFonts w:hint="eastAsia" w:ascii="宋体" w:hAnsi="宋体" w:cs="宋体"/>
                <w:kern w:val="0"/>
                <w:sz w:val="21"/>
                <w:szCs w:val="21"/>
                <w:u w:val="none"/>
                <w:lang w:eastAsia="zh-CN"/>
              </w:rPr>
              <w:t>管理监督服务，经常性地组织党员培训，定期开展党员考核评价。</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trPr>
        <w:tc>
          <w:tcPr>
            <w:tcW w:w="1095" w:type="dxa"/>
            <w:vMerge w:val="restart"/>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rPr>
              <w:t>基本</w:t>
            </w:r>
          </w:p>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rPr>
              <w:t>活动</w:t>
            </w:r>
          </w:p>
          <w:p>
            <w:pPr>
              <w:widowControl/>
              <w:spacing w:line="23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20分</w:t>
            </w:r>
            <w:r>
              <w:rPr>
                <w:rFonts w:hint="eastAsia" w:ascii="宋体" w:hAnsi="宋体" w:cs="宋体"/>
                <w:kern w:val="0"/>
                <w:sz w:val="21"/>
                <w:szCs w:val="21"/>
                <w:lang w:eastAsia="zh-CN"/>
              </w:rPr>
              <w:t>）</w:t>
            </w: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以推进“两学一做”常态化制度化为抓手，深入开展“不忘初心、牢记使命”主题教育，组织党员深入学习贯彻习近平新时代中国特色社会主义思想和党的十九大精神，学习宣传形式生动，成效好。</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经常开展师德师风教育活动，每位教师每年参加师德学习教育不少于10个学时，实行师德“一票否决制”。</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组织开展党支部立项活动，持续开展“书记好党课、党员好故事、支部好案例”创建活动。</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推动教师党支部之间、教师党支部与学生党支部之间、教师党支部与校外党支部之间开展“共建共创”活动。</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定期开展支部主题党日活动</w:t>
            </w:r>
            <w:r>
              <w:rPr>
                <w:rFonts w:hint="eastAsia" w:ascii="宋体" w:hAnsi="宋体" w:cs="宋体"/>
                <w:kern w:val="0"/>
                <w:sz w:val="21"/>
                <w:szCs w:val="21"/>
                <w:u w:val="none"/>
                <w:lang w:eastAsia="zh-CN"/>
              </w:rPr>
              <w:t>，组织党员集中学习、过组织生活、进行民主议事、开展志愿服务等活动</w:t>
            </w:r>
            <w:r>
              <w:rPr>
                <w:rFonts w:hint="eastAsia" w:ascii="宋体" w:hAnsi="宋体" w:cs="宋体"/>
                <w:kern w:val="0"/>
                <w:sz w:val="21"/>
                <w:szCs w:val="21"/>
                <w:u w:val="none"/>
              </w:rPr>
              <w:t>。</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trPr>
        <w:tc>
          <w:tcPr>
            <w:tcW w:w="1095" w:type="dxa"/>
            <w:vMerge w:val="restart"/>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rPr>
              <w:t>基本</w:t>
            </w:r>
          </w:p>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rPr>
              <w:t>作用</w:t>
            </w:r>
          </w:p>
          <w:p>
            <w:pPr>
              <w:widowControl/>
              <w:spacing w:line="23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20分</w:t>
            </w:r>
            <w:r>
              <w:rPr>
                <w:rFonts w:hint="eastAsia" w:ascii="宋体" w:hAnsi="宋体" w:cs="宋体"/>
                <w:kern w:val="0"/>
                <w:sz w:val="21"/>
                <w:szCs w:val="21"/>
                <w:lang w:eastAsia="zh-CN"/>
              </w:rPr>
              <w:t>）</w:t>
            </w: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积极开展争创先进党组织、优秀党员活动，</w:t>
            </w:r>
            <w:r>
              <w:rPr>
                <w:rFonts w:hint="eastAsia" w:ascii="宋体" w:hAnsi="宋体" w:cs="宋体"/>
                <w:color w:val="auto"/>
                <w:kern w:val="0"/>
                <w:sz w:val="21"/>
                <w:szCs w:val="21"/>
                <w:u w:val="none"/>
              </w:rPr>
              <w:t>设立党员“责任区”“先锋岗”，组织党员开展“党员突击队”“党员示范岗”“党员志愿服务队”等</w:t>
            </w:r>
            <w:r>
              <w:rPr>
                <w:rFonts w:hint="eastAsia" w:ascii="宋体" w:hAnsi="宋体" w:cs="宋体"/>
                <w:color w:val="auto"/>
                <w:kern w:val="0"/>
                <w:sz w:val="21"/>
                <w:szCs w:val="21"/>
                <w:u w:val="none"/>
                <w:lang w:eastAsia="zh-CN"/>
              </w:rPr>
              <w:t>，</w:t>
            </w:r>
            <w:r>
              <w:rPr>
                <w:rFonts w:hint="eastAsia" w:ascii="宋体" w:hAnsi="宋体" w:cs="宋体"/>
                <w:kern w:val="0"/>
                <w:sz w:val="21"/>
                <w:szCs w:val="21"/>
                <w:u w:val="none"/>
              </w:rPr>
              <w:t>教育引导师生党员在日常教学科研生活中亮出党员身份、立起先进标尺、树立先锋形象。</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lang w:eastAsia="zh-CN"/>
              </w:rPr>
              <w:t>加强校园文化建设，</w:t>
            </w:r>
            <w:r>
              <w:rPr>
                <w:rFonts w:hint="eastAsia" w:ascii="宋体" w:hAnsi="宋体" w:cs="宋体"/>
                <w:kern w:val="0"/>
                <w:sz w:val="21"/>
                <w:szCs w:val="21"/>
                <w:u w:val="none"/>
              </w:rPr>
              <w:t>巩固马克思主义在高校意识形态领域的指导地位，有效防止各类错误思想文化侵蚀，教育引导师生在课堂教学、论坛讲座等活动中坚持正确的政治立场、政治方向、政治原则、政治道路。</w:t>
            </w:r>
          </w:p>
        </w:tc>
        <w:tc>
          <w:tcPr>
            <w:tcW w:w="775" w:type="dxa"/>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引领带动师生积极投身学校改革发展、维护学校和谐稳定。教师党支部团结带领广大教师落实立德树人根本任务，不断提高人才培养质量</w:t>
            </w:r>
            <w:r>
              <w:rPr>
                <w:rFonts w:hint="eastAsia" w:ascii="宋体" w:hAnsi="宋体" w:cs="宋体"/>
                <w:kern w:val="0"/>
                <w:sz w:val="21"/>
                <w:szCs w:val="21"/>
                <w:u w:val="none"/>
                <w:lang w:eastAsia="zh-CN"/>
              </w:rPr>
              <w:t>；</w:t>
            </w:r>
            <w:r>
              <w:rPr>
                <w:rFonts w:hint="eastAsia" w:ascii="宋体" w:hAnsi="宋体" w:cs="宋体"/>
                <w:kern w:val="0"/>
                <w:sz w:val="21"/>
                <w:szCs w:val="21"/>
                <w:u w:val="none"/>
              </w:rPr>
              <w:t>学生党支部积极参与班级、年级、学生组织管理工作，引领优良班风学风校风建设，推进社会主义核心价值观培育践行。</w:t>
            </w:r>
          </w:p>
        </w:tc>
        <w:tc>
          <w:tcPr>
            <w:tcW w:w="775" w:type="dxa"/>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ascii="宋体" w:hAnsi="宋体" w:cs="宋体"/>
                <w:color w:val="auto"/>
                <w:kern w:val="0"/>
                <w:sz w:val="21"/>
                <w:szCs w:val="21"/>
                <w:u w:val="none"/>
              </w:rPr>
              <w:t>联系帮扶</w:t>
            </w:r>
            <w:r>
              <w:rPr>
                <w:rFonts w:hint="eastAsia" w:ascii="宋体" w:hAnsi="宋体" w:cs="宋体"/>
                <w:color w:val="auto"/>
                <w:kern w:val="0"/>
                <w:sz w:val="21"/>
                <w:szCs w:val="21"/>
                <w:u w:val="none"/>
              </w:rPr>
              <w:t>、关心关爱</w:t>
            </w:r>
            <w:r>
              <w:rPr>
                <w:rFonts w:ascii="宋体" w:hAnsi="宋体" w:cs="宋体"/>
                <w:color w:val="auto"/>
                <w:kern w:val="0"/>
                <w:sz w:val="21"/>
                <w:szCs w:val="21"/>
                <w:u w:val="none"/>
              </w:rPr>
              <w:t>困难</w:t>
            </w:r>
            <w:r>
              <w:rPr>
                <w:rFonts w:hint="eastAsia" w:ascii="宋体" w:hAnsi="宋体" w:cs="宋体"/>
                <w:color w:val="auto"/>
                <w:kern w:val="0"/>
                <w:sz w:val="21"/>
                <w:szCs w:val="21"/>
                <w:u w:val="none"/>
              </w:rPr>
              <w:t>教师和学生</w:t>
            </w:r>
            <w:r>
              <w:rPr>
                <w:rFonts w:hint="eastAsia"/>
                <w:color w:val="auto"/>
                <w:sz w:val="21"/>
                <w:szCs w:val="21"/>
                <w:u w:val="none"/>
              </w:rPr>
              <w:t>，帮助解决工作生活中的困难和问题，使他们感受到党组织的温暖。</w:t>
            </w:r>
          </w:p>
        </w:tc>
        <w:tc>
          <w:tcPr>
            <w:tcW w:w="775" w:type="dxa"/>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把社会主义核心价值观培育践行贯穿师生专业课实践教学、社会实践活动、创新创业教育、志愿服务等过程，</w:t>
            </w:r>
            <w:r>
              <w:rPr>
                <w:rFonts w:hint="eastAsia" w:ascii="宋体" w:hAnsi="宋体" w:cs="宋体"/>
                <w:color w:val="auto"/>
                <w:kern w:val="0"/>
                <w:sz w:val="21"/>
                <w:szCs w:val="21"/>
                <w:u w:val="none"/>
                <w:lang w:eastAsia="zh-CN"/>
              </w:rPr>
              <w:t>积极开展社会公益等活动，履行社会责任。</w:t>
            </w:r>
          </w:p>
        </w:tc>
        <w:tc>
          <w:tcPr>
            <w:tcW w:w="775" w:type="dxa"/>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坚持以支部党的建设带动所在单位</w:t>
            </w:r>
            <w:r>
              <w:rPr>
                <w:rFonts w:hint="eastAsia" w:ascii="宋体" w:hAnsi="宋体" w:cs="宋体"/>
                <w:kern w:val="0"/>
                <w:sz w:val="21"/>
                <w:szCs w:val="21"/>
                <w:u w:val="none"/>
                <w:lang w:eastAsia="zh-CN"/>
              </w:rPr>
              <w:t>共青团</w:t>
            </w:r>
            <w:r>
              <w:rPr>
                <w:rFonts w:hint="eastAsia" w:ascii="宋体" w:hAnsi="宋体" w:cs="宋体"/>
                <w:kern w:val="0"/>
                <w:sz w:val="21"/>
                <w:szCs w:val="21"/>
                <w:u w:val="none"/>
              </w:rPr>
              <w:t>、工会</w:t>
            </w:r>
            <w:r>
              <w:rPr>
                <w:rFonts w:hint="eastAsia" w:ascii="宋体" w:hAnsi="宋体" w:cs="宋体"/>
                <w:kern w:val="0"/>
                <w:sz w:val="21"/>
                <w:szCs w:val="21"/>
                <w:u w:val="none"/>
                <w:lang w:eastAsia="zh-CN"/>
              </w:rPr>
              <w:t>等群团</w:t>
            </w:r>
            <w:r>
              <w:rPr>
                <w:rFonts w:hint="eastAsia" w:ascii="宋体" w:hAnsi="宋体" w:cs="宋体"/>
                <w:kern w:val="0"/>
                <w:sz w:val="21"/>
                <w:szCs w:val="21"/>
                <w:u w:val="none"/>
              </w:rPr>
              <w:t>组织建设，加强党建带群建、群建促党建。</w:t>
            </w:r>
          </w:p>
        </w:tc>
        <w:tc>
          <w:tcPr>
            <w:tcW w:w="775" w:type="dxa"/>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5" w:type="dxa"/>
            <w:vMerge w:val="restart"/>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rPr>
              <w:t>基本</w:t>
            </w:r>
          </w:p>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rPr>
              <w:t>制度</w:t>
            </w:r>
          </w:p>
          <w:p>
            <w:pPr>
              <w:widowControl/>
              <w:spacing w:line="23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20分</w:t>
            </w:r>
            <w:r>
              <w:rPr>
                <w:rFonts w:hint="eastAsia" w:ascii="宋体" w:hAnsi="宋体" w:cs="宋体"/>
                <w:kern w:val="0"/>
                <w:sz w:val="21"/>
                <w:szCs w:val="21"/>
                <w:lang w:eastAsia="zh-CN"/>
              </w:rPr>
              <w:t>）</w:t>
            </w: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lang w:eastAsia="zh-CN"/>
              </w:rPr>
              <w:t>认真落实</w:t>
            </w:r>
            <w:r>
              <w:rPr>
                <w:rFonts w:hint="eastAsia" w:ascii="宋体" w:hAnsi="宋体" w:cs="宋体"/>
                <w:kern w:val="0"/>
                <w:sz w:val="21"/>
                <w:szCs w:val="21"/>
                <w:u w:val="none"/>
              </w:rPr>
              <w:t>党员发展教育管理监督、党费收缴使用、党务政务公开、党风廉政建设、党组织书记抓基层党建述职评议等制度并规范运行。</w:t>
            </w:r>
          </w:p>
        </w:tc>
        <w:tc>
          <w:tcPr>
            <w:tcW w:w="775" w:type="dxa"/>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建立党组织参与决策和监督、有效发挥作用的制度机制，健全议事决策制度、沟通协调机制。</w:t>
            </w:r>
          </w:p>
        </w:tc>
        <w:tc>
          <w:tcPr>
            <w:tcW w:w="775" w:type="dxa"/>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严格规范“三会一课”、组织生活会、谈心谈话、民主评议党员等党的组织生活制度，积极创新方式方法</w:t>
            </w:r>
            <w:r>
              <w:rPr>
                <w:rFonts w:hint="eastAsia" w:ascii="宋体" w:hAnsi="宋体" w:cs="宋体"/>
                <w:kern w:val="0"/>
                <w:sz w:val="21"/>
                <w:szCs w:val="21"/>
                <w:u w:val="none"/>
                <w:lang w:eastAsia="zh-CN"/>
              </w:rPr>
              <w:t>。</w:t>
            </w:r>
            <w:r>
              <w:rPr>
                <w:rFonts w:hint="eastAsia" w:ascii="宋体" w:hAnsi="宋体" w:cs="宋体"/>
                <w:kern w:val="0"/>
                <w:sz w:val="21"/>
                <w:szCs w:val="21"/>
                <w:u w:val="none"/>
              </w:rPr>
              <w:t>每年至少召开1次组织生活会</w:t>
            </w:r>
            <w:r>
              <w:rPr>
                <w:rFonts w:hint="eastAsia" w:ascii="宋体" w:hAnsi="宋体" w:cs="宋体"/>
                <w:kern w:val="0"/>
                <w:sz w:val="21"/>
                <w:szCs w:val="21"/>
                <w:u w:val="none"/>
                <w:lang w:eastAsia="zh-CN"/>
              </w:rPr>
              <w:t>、</w:t>
            </w:r>
            <w:r>
              <w:rPr>
                <w:rFonts w:hint="eastAsia" w:ascii="宋体" w:hAnsi="宋体" w:cs="宋体"/>
                <w:kern w:val="0"/>
                <w:sz w:val="21"/>
                <w:szCs w:val="21"/>
                <w:u w:val="none"/>
              </w:rPr>
              <w:t>1次民主评议党员</w:t>
            </w:r>
            <w:r>
              <w:rPr>
                <w:rFonts w:hint="eastAsia" w:ascii="宋体" w:hAnsi="宋体" w:cs="宋体"/>
                <w:kern w:val="0"/>
                <w:sz w:val="21"/>
                <w:szCs w:val="21"/>
                <w:u w:val="none"/>
                <w:lang w:val="en-US" w:eastAsia="zh-CN"/>
              </w:rPr>
              <w:t>。党支部委员之间、党支部委员和党员之间、党员和党员之间，每年谈心谈话一般不少于1次。</w:t>
            </w:r>
          </w:p>
        </w:tc>
        <w:tc>
          <w:tcPr>
            <w:tcW w:w="775" w:type="dxa"/>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每学期末向上级党组织报告1次支部工作，每年向支部党员大会报告工作情况</w:t>
            </w:r>
            <w:r>
              <w:rPr>
                <w:rFonts w:hint="eastAsia" w:ascii="宋体" w:hAnsi="宋体" w:cs="宋体"/>
                <w:kern w:val="0"/>
                <w:sz w:val="21"/>
                <w:szCs w:val="21"/>
                <w:u w:val="none"/>
                <w:lang w:eastAsia="zh-CN"/>
              </w:rPr>
              <w:t>，</w:t>
            </w:r>
            <w:r>
              <w:rPr>
                <w:rFonts w:hint="eastAsia" w:ascii="宋体" w:hAnsi="宋体" w:cs="宋体"/>
                <w:kern w:val="0"/>
                <w:sz w:val="21"/>
                <w:szCs w:val="21"/>
                <w:u w:val="none"/>
              </w:rPr>
              <w:t>党员每年向党支部汇报1次学习、思想和工作情况。</w:t>
            </w:r>
          </w:p>
        </w:tc>
        <w:tc>
          <w:tcPr>
            <w:tcW w:w="775" w:type="dxa"/>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建立党员与师生结对制度，鼓励党员学术带头人与青年教职工结对子，党员与学业优秀的学生结对子，发挥“学术导师”和“政治导师”作用，引导他们主动向党组织靠拢，为党员队伍注入新动力。</w:t>
            </w:r>
          </w:p>
        </w:tc>
        <w:tc>
          <w:tcPr>
            <w:tcW w:w="775" w:type="dxa"/>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健全党内激励、关怀、帮扶机制，</w:t>
            </w:r>
            <w:r>
              <w:rPr>
                <w:rFonts w:hint="eastAsia" w:ascii="宋体" w:hAnsi="宋体" w:cs="宋体"/>
                <w:kern w:val="0"/>
                <w:sz w:val="21"/>
                <w:szCs w:val="21"/>
                <w:u w:val="none"/>
                <w:lang w:eastAsia="zh-CN"/>
              </w:rPr>
              <w:t>进一步激励党员新时代新担当新作为，</w:t>
            </w:r>
            <w:r>
              <w:rPr>
                <w:rFonts w:hint="eastAsia" w:ascii="宋体" w:hAnsi="宋体" w:cs="宋体"/>
                <w:kern w:val="0"/>
                <w:sz w:val="21"/>
                <w:szCs w:val="21"/>
                <w:u w:val="none"/>
              </w:rPr>
              <w:t>把解决思想问题和解决实际问题相结合，积极开展服务、帮扶、慰问等活动。</w:t>
            </w:r>
          </w:p>
        </w:tc>
        <w:tc>
          <w:tcPr>
            <w:tcW w:w="775" w:type="dxa"/>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trPr>
        <w:tc>
          <w:tcPr>
            <w:tcW w:w="1095" w:type="dxa"/>
            <w:vMerge w:val="restart"/>
            <w:vAlign w:val="center"/>
          </w:tcPr>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rPr>
              <w:t>基本</w:t>
            </w:r>
          </w:p>
          <w:p>
            <w:pPr>
              <w:widowControl/>
              <w:spacing w:line="230" w:lineRule="exact"/>
              <w:jc w:val="center"/>
              <w:rPr>
                <w:rFonts w:hint="eastAsia" w:ascii="宋体" w:hAnsi="宋体" w:cs="宋体"/>
                <w:kern w:val="0"/>
                <w:sz w:val="21"/>
                <w:szCs w:val="21"/>
              </w:rPr>
            </w:pPr>
            <w:r>
              <w:rPr>
                <w:rFonts w:hint="eastAsia" w:ascii="宋体" w:hAnsi="宋体" w:cs="宋体"/>
                <w:kern w:val="0"/>
                <w:sz w:val="21"/>
                <w:szCs w:val="21"/>
              </w:rPr>
              <w:t>保障</w:t>
            </w:r>
          </w:p>
          <w:p>
            <w:pPr>
              <w:widowControl/>
              <w:spacing w:line="230" w:lineRule="exact"/>
              <w:jc w:val="center"/>
              <w:rPr>
                <w:rFonts w:hint="eastAsia" w:ascii="宋体" w:hAnsi="宋体" w:cs="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12分</w:t>
            </w:r>
            <w:r>
              <w:rPr>
                <w:rFonts w:hint="eastAsia" w:ascii="宋体" w:hAnsi="宋体" w:cs="宋体"/>
                <w:kern w:val="0"/>
                <w:sz w:val="21"/>
                <w:szCs w:val="21"/>
                <w:lang w:eastAsia="zh-CN"/>
              </w:rPr>
              <w:t>）</w:t>
            </w: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加强对党建工作各类经费的管理使用，建立管理使用办法</w:t>
            </w:r>
            <w:r>
              <w:rPr>
                <w:rFonts w:hint="eastAsia" w:ascii="宋体" w:hAnsi="宋体" w:cs="宋体"/>
                <w:kern w:val="0"/>
                <w:sz w:val="21"/>
                <w:szCs w:val="21"/>
                <w:u w:val="none"/>
                <w:lang w:eastAsia="zh-CN"/>
              </w:rPr>
              <w:t>，</w:t>
            </w:r>
            <w:r>
              <w:rPr>
                <w:rFonts w:hint="eastAsia" w:ascii="宋体" w:hAnsi="宋体" w:cs="宋体"/>
                <w:kern w:val="0"/>
                <w:sz w:val="21"/>
                <w:szCs w:val="21"/>
                <w:u w:val="none"/>
              </w:rPr>
              <w:t>并严格执行。</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专职党务工作人员比照学校同级行政管理人员落实相关待遇</w:t>
            </w:r>
            <w:r>
              <w:rPr>
                <w:rFonts w:hint="eastAsia" w:ascii="宋体" w:hAnsi="宋体" w:cs="宋体"/>
                <w:kern w:val="0"/>
                <w:sz w:val="21"/>
                <w:szCs w:val="21"/>
                <w:u w:val="none"/>
                <w:lang w:eastAsia="zh-CN"/>
              </w:rPr>
              <w:t>，</w:t>
            </w:r>
            <w:r>
              <w:rPr>
                <w:rFonts w:hint="eastAsia" w:ascii="宋体" w:hAnsi="宋体" w:cs="宋体"/>
                <w:kern w:val="0"/>
                <w:sz w:val="21"/>
                <w:szCs w:val="21"/>
                <w:u w:val="none"/>
              </w:rPr>
              <w:t>兼职党务工作者应计算工作量。</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blHeader/>
        </w:trPr>
        <w:tc>
          <w:tcPr>
            <w:tcW w:w="1095" w:type="dxa"/>
            <w:vMerge w:val="continue"/>
            <w:vAlign w:val="center"/>
          </w:tcPr>
          <w:p>
            <w:pPr>
              <w:widowControl/>
              <w:spacing w:line="230" w:lineRule="exact"/>
              <w:jc w:val="center"/>
              <w:rPr>
                <w:rFonts w:hint="eastAsia" w:ascii="宋体" w:hAnsi="宋体" w:cs="宋体"/>
                <w:kern w:val="0"/>
                <w:sz w:val="21"/>
                <w:szCs w:val="21"/>
              </w:rPr>
            </w:pPr>
          </w:p>
        </w:tc>
        <w:tc>
          <w:tcPr>
            <w:tcW w:w="689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宋体" w:hAnsi="宋体" w:cs="宋体"/>
                <w:kern w:val="0"/>
                <w:sz w:val="21"/>
                <w:szCs w:val="21"/>
                <w:u w:val="none"/>
              </w:rPr>
            </w:pPr>
            <w:r>
              <w:rPr>
                <w:rFonts w:hint="eastAsia" w:ascii="宋体" w:hAnsi="宋体" w:cs="宋体"/>
                <w:kern w:val="0"/>
                <w:sz w:val="21"/>
                <w:szCs w:val="21"/>
                <w:u w:val="none"/>
              </w:rPr>
              <w:t>规范建设党建工作阵地</w:t>
            </w:r>
            <w:r>
              <w:rPr>
                <w:rFonts w:hint="eastAsia" w:ascii="宋体" w:hAnsi="宋体" w:cs="宋体"/>
                <w:kern w:val="0"/>
                <w:sz w:val="21"/>
                <w:szCs w:val="21"/>
                <w:u w:val="none"/>
                <w:lang w:eastAsia="zh-CN"/>
              </w:rPr>
              <w:t>，</w:t>
            </w:r>
            <w:r>
              <w:rPr>
                <w:rFonts w:hint="eastAsia" w:ascii="宋体" w:hAnsi="宋体" w:cs="宋体"/>
                <w:kern w:val="0"/>
                <w:sz w:val="21"/>
                <w:szCs w:val="21"/>
                <w:u w:val="none"/>
              </w:rPr>
              <w:t>有党员活动室、会议室</w:t>
            </w:r>
            <w:r>
              <w:rPr>
                <w:rFonts w:hint="eastAsia" w:ascii="宋体" w:hAnsi="宋体" w:cs="宋体"/>
                <w:kern w:val="0"/>
                <w:sz w:val="21"/>
                <w:szCs w:val="21"/>
                <w:u w:val="none"/>
                <w:lang w:eastAsia="zh-CN"/>
              </w:rPr>
              <w:t>，</w:t>
            </w:r>
            <w:r>
              <w:rPr>
                <w:rFonts w:hint="eastAsia" w:ascii="宋体" w:hAnsi="宋体" w:cs="宋体"/>
                <w:kern w:val="0"/>
                <w:sz w:val="21"/>
                <w:szCs w:val="21"/>
                <w:u w:val="none"/>
              </w:rPr>
              <w:t>活动场所布置规范</w:t>
            </w:r>
            <w:r>
              <w:rPr>
                <w:rFonts w:hint="eastAsia" w:ascii="宋体" w:hAnsi="宋体" w:cs="宋体"/>
                <w:kern w:val="0"/>
                <w:sz w:val="21"/>
                <w:szCs w:val="21"/>
                <w:u w:val="none"/>
                <w:lang w:eastAsia="zh-CN"/>
              </w:rPr>
              <w:t>，</w:t>
            </w:r>
            <w:r>
              <w:rPr>
                <w:rFonts w:hint="eastAsia" w:ascii="宋体" w:hAnsi="宋体" w:cs="宋体"/>
                <w:kern w:val="0"/>
                <w:sz w:val="21"/>
                <w:szCs w:val="21"/>
                <w:u w:val="none"/>
              </w:rPr>
              <w:t>面积能够满足全体党员学习、会议等需要。</w:t>
            </w:r>
          </w:p>
        </w:tc>
        <w:tc>
          <w:tcPr>
            <w:tcW w:w="775" w:type="dxa"/>
            <w:vAlign w:val="center"/>
          </w:tcPr>
          <w:p>
            <w:pPr>
              <w:widowControl/>
              <w:spacing w:line="23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3分</w:t>
            </w:r>
          </w:p>
        </w:tc>
      </w:tr>
    </w:tbl>
    <w:p>
      <w:pPr>
        <w:jc w:val="both"/>
        <w:rPr>
          <w:rFonts w:hint="eastAsia" w:eastAsia="仿宋_GB2312"/>
          <w:color w:val="000000"/>
          <w:sz w:val="32"/>
          <w:szCs w:val="32"/>
          <w:lang w:val="en-US" w:eastAsia="zh-CN"/>
        </w:rPr>
        <w:sectPr>
          <w:pgSz w:w="11906" w:h="16838"/>
          <w:pgMar w:top="1440" w:right="1800" w:bottom="1440" w:left="1800" w:header="851" w:footer="992" w:gutter="0"/>
          <w:pgNumType w:fmt="decimal"/>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6706C"/>
    <w:rsid w:val="23C6706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2018-09-12T08:17:00Z</dcterms:created>
  <dc:creator>Administrator</dc:creator>
  <cp:lastModifiedBy>Administrator</cp:lastModifiedBy>
  <dcterms:modified xsi:type="dcterms:W3CDTF">2018-09-12T08:17:49Z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